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5D1EE" w14:textId="77777777" w:rsidR="00C7304A" w:rsidRPr="00516EB4" w:rsidRDefault="005E24F6" w:rsidP="005E24F6">
      <w:pPr>
        <w:jc w:val="center"/>
        <w:rPr>
          <w:b/>
          <w:outline/>
          <w:color w:val="7F7F7F" w:themeColor="text1" w:themeTint="80"/>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516EB4">
        <w:rPr>
          <w:b/>
          <w:color w:val="000000" w:themeColor="text1"/>
          <w:sz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Sick Bank Paraeducator Participation Form</w:t>
      </w:r>
    </w:p>
    <w:p w14:paraId="33F37EB7" w14:textId="77777777" w:rsidR="005E24F6" w:rsidRPr="005E24F6" w:rsidRDefault="005E24F6" w:rsidP="005E24F6">
      <w:pPr>
        <w:rPr>
          <w:sz w:val="28"/>
        </w:rPr>
      </w:pPr>
      <w:r w:rsidRPr="005E24F6">
        <w:rPr>
          <w:sz w:val="28"/>
        </w:rPr>
        <w:t>Please read the following taken from our Collective Bargaining Agreement:</w:t>
      </w:r>
    </w:p>
    <w:p w14:paraId="1F50F17F" w14:textId="77777777" w:rsidR="005E24F6" w:rsidRPr="005E24F6" w:rsidRDefault="005E24F6" w:rsidP="005E24F6">
      <w:pPr>
        <w:pStyle w:val="Heading2"/>
        <w:keepNext w:val="0"/>
        <w:numPr>
          <w:ilvl w:val="0"/>
          <w:numId w:val="0"/>
        </w:numPr>
        <w:rPr>
          <w:rFonts w:ascii="Times New Roman" w:hAnsi="Times New Roman" w:cs="Times New Roman"/>
          <w:b w:val="0"/>
          <w:i w:val="0"/>
          <w:color w:val="000000" w:themeColor="text1"/>
          <w:sz w:val="20"/>
          <w:szCs w:val="24"/>
        </w:rPr>
      </w:pPr>
      <w:r w:rsidRPr="005E24F6">
        <w:rPr>
          <w:rFonts w:ascii="Times New Roman" w:hAnsi="Times New Roman" w:cs="Times New Roman"/>
          <w:i w:val="0"/>
          <w:color w:val="000000" w:themeColor="text1"/>
          <w:sz w:val="20"/>
          <w:szCs w:val="24"/>
        </w:rPr>
        <w:t xml:space="preserve">Section </w:t>
      </w:r>
      <w:proofErr w:type="gramStart"/>
      <w:r w:rsidRPr="005E24F6">
        <w:rPr>
          <w:rFonts w:ascii="Times New Roman" w:hAnsi="Times New Roman" w:cs="Times New Roman"/>
          <w:i w:val="0"/>
          <w:color w:val="000000" w:themeColor="text1"/>
          <w:sz w:val="20"/>
          <w:szCs w:val="24"/>
        </w:rPr>
        <w:t>15.02  Sick</w:t>
      </w:r>
      <w:proofErr w:type="gramEnd"/>
      <w:r w:rsidRPr="005E24F6">
        <w:rPr>
          <w:rFonts w:ascii="Times New Roman" w:hAnsi="Times New Roman" w:cs="Times New Roman"/>
          <w:i w:val="0"/>
          <w:color w:val="000000" w:themeColor="text1"/>
          <w:sz w:val="20"/>
          <w:szCs w:val="24"/>
        </w:rPr>
        <w:t xml:space="preserve"> Bank</w:t>
      </w:r>
      <w:r w:rsidRPr="005E24F6">
        <w:rPr>
          <w:rFonts w:ascii="Times New Roman" w:hAnsi="Times New Roman" w:cs="Times New Roman"/>
          <w:b w:val="0"/>
          <w:i w:val="0"/>
          <w:color w:val="000000" w:themeColor="text1"/>
          <w:sz w:val="20"/>
          <w:szCs w:val="24"/>
        </w:rPr>
        <w:t>:</w:t>
      </w:r>
    </w:p>
    <w:p w14:paraId="7F4D65C2" w14:textId="77777777" w:rsidR="005E24F6" w:rsidRPr="005E24F6" w:rsidRDefault="005E24F6" w:rsidP="005E24F6">
      <w:pPr>
        <w:pStyle w:val="Heading3"/>
        <w:keepNext w:val="0"/>
        <w:rPr>
          <w:rFonts w:ascii="Times New Roman" w:hAnsi="Times New Roman" w:cs="Times New Roman"/>
          <w:b w:val="0"/>
          <w:color w:val="000000" w:themeColor="text1"/>
          <w:sz w:val="20"/>
          <w:szCs w:val="24"/>
        </w:rPr>
      </w:pPr>
      <w:r w:rsidRPr="005E24F6">
        <w:rPr>
          <w:rFonts w:ascii="Times New Roman" w:hAnsi="Times New Roman" w:cs="Times New Roman"/>
          <w:b w:val="0"/>
          <w:color w:val="000000" w:themeColor="text1"/>
          <w:sz w:val="20"/>
          <w:szCs w:val="24"/>
        </w:rPr>
        <w:t>Employees in this bargaining unit will be afforded the opportunity to participate in a sick leave bank.  The purpose of the sick bank is to provide financial assistance to an employee who is experiencing an emergency situation.  All available vacation, personal, and accrued sick time must be exhausted prior to receiving sick bank time.</w:t>
      </w:r>
    </w:p>
    <w:p w14:paraId="5745AE66" w14:textId="77777777" w:rsidR="005E24F6" w:rsidRPr="005E24F6" w:rsidRDefault="005E24F6" w:rsidP="005E24F6">
      <w:pPr>
        <w:pStyle w:val="Heading3"/>
        <w:keepNext w:val="0"/>
        <w:rPr>
          <w:rFonts w:ascii="Times New Roman" w:hAnsi="Times New Roman" w:cs="Times New Roman"/>
          <w:b w:val="0"/>
          <w:color w:val="000000" w:themeColor="text1"/>
          <w:sz w:val="20"/>
          <w:szCs w:val="24"/>
        </w:rPr>
      </w:pPr>
      <w:r w:rsidRPr="005E24F6">
        <w:rPr>
          <w:rFonts w:ascii="Times New Roman" w:hAnsi="Times New Roman" w:cs="Times New Roman"/>
          <w:b w:val="0"/>
          <w:color w:val="000000" w:themeColor="text1"/>
          <w:sz w:val="20"/>
          <w:szCs w:val="24"/>
        </w:rPr>
        <w:t>The following guidelines have been established for the administration of the sick leave bank:</w:t>
      </w:r>
    </w:p>
    <w:p w14:paraId="274060B0" w14:textId="77777777" w:rsidR="005E24F6" w:rsidRPr="005E24F6" w:rsidRDefault="005E24F6" w:rsidP="005E24F6">
      <w:pPr>
        <w:pStyle w:val="Heading5"/>
        <w:rPr>
          <w:b w:val="0"/>
          <w:i w:val="0"/>
          <w:color w:val="000000" w:themeColor="text1"/>
          <w:sz w:val="20"/>
          <w:szCs w:val="24"/>
        </w:rPr>
      </w:pPr>
      <w:r w:rsidRPr="005E24F6">
        <w:rPr>
          <w:b w:val="0"/>
          <w:i w:val="0"/>
          <w:color w:val="000000" w:themeColor="text1"/>
          <w:sz w:val="20"/>
          <w:szCs w:val="24"/>
        </w:rPr>
        <w:t>Sick bank contributions are on a strictly voluntary basis.</w:t>
      </w:r>
    </w:p>
    <w:p w14:paraId="6BCA0D69" w14:textId="77777777" w:rsidR="005E24F6" w:rsidRPr="005E24F6" w:rsidRDefault="005E24F6" w:rsidP="005E24F6">
      <w:pPr>
        <w:pStyle w:val="Heading5"/>
        <w:rPr>
          <w:b w:val="0"/>
          <w:i w:val="0"/>
          <w:color w:val="000000" w:themeColor="text1"/>
          <w:sz w:val="20"/>
          <w:szCs w:val="24"/>
        </w:rPr>
      </w:pPr>
      <w:r w:rsidRPr="005E24F6">
        <w:rPr>
          <w:b w:val="0"/>
          <w:i w:val="0"/>
          <w:color w:val="000000" w:themeColor="text1"/>
          <w:sz w:val="20"/>
          <w:szCs w:val="24"/>
        </w:rPr>
        <w:t>The sick bank year shall run from October 1</w:t>
      </w:r>
      <w:r w:rsidRPr="005E24F6">
        <w:rPr>
          <w:b w:val="0"/>
          <w:i w:val="0"/>
          <w:color w:val="000000" w:themeColor="text1"/>
          <w:sz w:val="20"/>
          <w:szCs w:val="24"/>
          <w:vertAlign w:val="superscript"/>
        </w:rPr>
        <w:t>st</w:t>
      </w:r>
      <w:r w:rsidRPr="005E24F6">
        <w:rPr>
          <w:b w:val="0"/>
          <w:i w:val="0"/>
          <w:color w:val="000000" w:themeColor="text1"/>
          <w:sz w:val="20"/>
          <w:szCs w:val="24"/>
        </w:rPr>
        <w:t xml:space="preserve"> thru September 30</w:t>
      </w:r>
      <w:r w:rsidRPr="005E24F6">
        <w:rPr>
          <w:b w:val="0"/>
          <w:i w:val="0"/>
          <w:color w:val="000000" w:themeColor="text1"/>
          <w:sz w:val="20"/>
          <w:szCs w:val="24"/>
          <w:vertAlign w:val="superscript"/>
        </w:rPr>
        <w:t>th</w:t>
      </w:r>
      <w:r w:rsidRPr="005E24F6">
        <w:rPr>
          <w:b w:val="0"/>
          <w:i w:val="0"/>
          <w:color w:val="000000" w:themeColor="text1"/>
          <w:sz w:val="20"/>
          <w:szCs w:val="24"/>
        </w:rPr>
        <w:t>.</w:t>
      </w:r>
    </w:p>
    <w:p w14:paraId="41716E4E" w14:textId="77777777" w:rsidR="005E24F6" w:rsidRPr="005E24F6" w:rsidRDefault="005E24F6" w:rsidP="005E24F6">
      <w:pPr>
        <w:pStyle w:val="Heading5"/>
        <w:rPr>
          <w:b w:val="0"/>
          <w:i w:val="0"/>
          <w:color w:val="000000" w:themeColor="text1"/>
          <w:sz w:val="20"/>
          <w:szCs w:val="24"/>
        </w:rPr>
      </w:pPr>
      <w:r w:rsidRPr="005E24F6">
        <w:rPr>
          <w:b w:val="0"/>
          <w:i w:val="0"/>
          <w:color w:val="000000" w:themeColor="text1"/>
          <w:sz w:val="20"/>
          <w:szCs w:val="24"/>
        </w:rPr>
        <w:t>Eligibility to draw from the sick bank is predicated on the employee having contributed hours toward the year in which the request is made.  For returning employees, contributions to the sick bank must be made by September 30</w:t>
      </w:r>
      <w:r w:rsidRPr="005E24F6">
        <w:rPr>
          <w:b w:val="0"/>
          <w:i w:val="0"/>
          <w:color w:val="000000" w:themeColor="text1"/>
          <w:sz w:val="20"/>
          <w:szCs w:val="24"/>
          <w:vertAlign w:val="superscript"/>
        </w:rPr>
        <w:t>th</w:t>
      </w:r>
      <w:r w:rsidRPr="005E24F6">
        <w:rPr>
          <w:b w:val="0"/>
          <w:i w:val="0"/>
          <w:color w:val="000000" w:themeColor="text1"/>
          <w:sz w:val="20"/>
          <w:szCs w:val="24"/>
        </w:rPr>
        <w:t>, of each new school year.  Newly hired employees wishing to contribute to the sick bank must do so within sixty (60) days of attaining non-probationary status.</w:t>
      </w:r>
    </w:p>
    <w:p w14:paraId="37A1753C" w14:textId="77777777" w:rsidR="005E24F6" w:rsidRPr="005E24F6" w:rsidRDefault="00A31B3E" w:rsidP="005E24F6">
      <w:pPr>
        <w:pStyle w:val="Heading5"/>
        <w:rPr>
          <w:b w:val="0"/>
          <w:i w:val="0"/>
          <w:color w:val="000000" w:themeColor="text1"/>
          <w:sz w:val="20"/>
          <w:szCs w:val="24"/>
        </w:rPr>
      </w:pPr>
      <w:r>
        <w:rPr>
          <w:b w:val="0"/>
          <w:noProof/>
          <w:color w:val="FFFFFF"/>
          <w:sz w:val="52"/>
        </w:rPr>
        <w:drawing>
          <wp:anchor distT="0" distB="0" distL="114300" distR="114300" simplePos="0" relativeHeight="251658240" behindDoc="0" locked="0" layoutInCell="1" allowOverlap="1" wp14:anchorId="429A893C" wp14:editId="3D8F9D63">
            <wp:simplePos x="0" y="0"/>
            <wp:positionH relativeFrom="column">
              <wp:posOffset>4410075</wp:posOffset>
            </wp:positionH>
            <wp:positionV relativeFrom="paragraph">
              <wp:posOffset>636270</wp:posOffset>
            </wp:positionV>
            <wp:extent cx="1287547" cy="1604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58-Hospital-Patient-In-A-Bed-A-Fish-In-His-IV-Container-Clipart-Illustratio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547" cy="1604975"/>
                    </a:xfrm>
                    <a:prstGeom prst="rect">
                      <a:avLst/>
                    </a:prstGeom>
                  </pic:spPr>
                </pic:pic>
              </a:graphicData>
            </a:graphic>
            <wp14:sizeRelH relativeFrom="margin">
              <wp14:pctWidth>0</wp14:pctWidth>
            </wp14:sizeRelH>
            <wp14:sizeRelV relativeFrom="margin">
              <wp14:pctHeight>0</wp14:pctHeight>
            </wp14:sizeRelV>
          </wp:anchor>
        </w:drawing>
      </w:r>
      <w:r w:rsidR="005E24F6" w:rsidRPr="005E24F6">
        <w:rPr>
          <w:b w:val="0"/>
          <w:i w:val="0"/>
          <w:color w:val="000000" w:themeColor="text1"/>
          <w:sz w:val="20"/>
          <w:szCs w:val="24"/>
        </w:rPr>
        <w:t>Employees wishing to participate in the sick bank must donate one full day (expressed in hours) of sick time.  Sick day value is based on the number of hours assigned to a position weekly divided by a five (5) day workweek.  Example:  A twenty (20) hour per week employee makes a four (4) hour contribution with a four (4) hour draw value.</w:t>
      </w:r>
    </w:p>
    <w:p w14:paraId="481B62E7" w14:textId="77777777" w:rsidR="005E24F6" w:rsidRDefault="00A31B3E" w:rsidP="005E24F6">
      <w:pPr>
        <w:rPr>
          <w:sz w:val="24"/>
        </w:rPr>
      </w:pPr>
      <w:r>
        <w:rPr>
          <w:b/>
          <w:noProof/>
          <w:sz w:val="28"/>
          <w:u w:val="single"/>
        </w:rPr>
        <w:drawing>
          <wp:anchor distT="0" distB="0" distL="114300" distR="114300" simplePos="0" relativeHeight="251660288" behindDoc="0" locked="0" layoutInCell="1" allowOverlap="1" wp14:anchorId="4BBB44B1" wp14:editId="6A470BBF">
            <wp:simplePos x="0" y="0"/>
            <wp:positionH relativeFrom="margin">
              <wp:posOffset>2209800</wp:posOffset>
            </wp:positionH>
            <wp:positionV relativeFrom="paragraph">
              <wp:posOffset>47625</wp:posOffset>
            </wp:positionV>
            <wp:extent cx="152400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ban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9264" behindDoc="0" locked="0" layoutInCell="1" allowOverlap="1" wp14:anchorId="08032932" wp14:editId="7C501C8E">
            <wp:simplePos x="0" y="0"/>
            <wp:positionH relativeFrom="column">
              <wp:posOffset>221615</wp:posOffset>
            </wp:positionH>
            <wp:positionV relativeFrom="paragraph">
              <wp:posOffset>62230</wp:posOffset>
            </wp:positionV>
            <wp:extent cx="1332619" cy="15093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11-0810-2315-2014_Woman_Sick_in_Bed_clipart_image[1].png"/>
                    <pic:cNvPicPr/>
                  </pic:nvPicPr>
                  <pic:blipFill>
                    <a:blip r:embed="rId7">
                      <a:extLst>
                        <a:ext uri="{28A0092B-C50C-407E-A947-70E740481C1C}">
                          <a14:useLocalDpi xmlns:a14="http://schemas.microsoft.com/office/drawing/2010/main" val="0"/>
                        </a:ext>
                      </a:extLst>
                    </a:blip>
                    <a:stretch>
                      <a:fillRect/>
                    </a:stretch>
                  </pic:blipFill>
                  <pic:spPr>
                    <a:xfrm>
                      <a:off x="0" y="0"/>
                      <a:ext cx="1332619" cy="1509395"/>
                    </a:xfrm>
                    <a:prstGeom prst="rect">
                      <a:avLst/>
                    </a:prstGeom>
                  </pic:spPr>
                </pic:pic>
              </a:graphicData>
            </a:graphic>
            <wp14:sizeRelH relativeFrom="margin">
              <wp14:pctWidth>0</wp14:pctWidth>
            </wp14:sizeRelH>
            <wp14:sizeRelV relativeFrom="margin">
              <wp14:pctHeight>0</wp14:pctHeight>
            </wp14:sizeRelV>
          </wp:anchor>
        </w:drawing>
      </w:r>
    </w:p>
    <w:p w14:paraId="5DAE052B" w14:textId="77777777" w:rsidR="00A31B3E" w:rsidRDefault="00A31B3E" w:rsidP="005E24F6">
      <w:pPr>
        <w:rPr>
          <w:b/>
          <w:sz w:val="28"/>
          <w:u w:val="single"/>
        </w:rPr>
      </w:pPr>
    </w:p>
    <w:p w14:paraId="780926DF" w14:textId="77777777" w:rsidR="00A31B3E" w:rsidRDefault="00A31B3E" w:rsidP="005E24F6">
      <w:pPr>
        <w:rPr>
          <w:b/>
          <w:sz w:val="28"/>
          <w:u w:val="single"/>
        </w:rPr>
      </w:pPr>
    </w:p>
    <w:p w14:paraId="12253A91" w14:textId="77777777" w:rsidR="00A31B3E" w:rsidRDefault="00A31B3E" w:rsidP="005E24F6">
      <w:pPr>
        <w:rPr>
          <w:b/>
          <w:sz w:val="28"/>
          <w:u w:val="single"/>
        </w:rPr>
      </w:pPr>
    </w:p>
    <w:p w14:paraId="39448266" w14:textId="77777777" w:rsidR="00A31B3E" w:rsidRDefault="00A31B3E" w:rsidP="005E24F6">
      <w:pPr>
        <w:rPr>
          <w:b/>
          <w:sz w:val="28"/>
          <w:u w:val="single"/>
        </w:rPr>
      </w:pPr>
    </w:p>
    <w:p w14:paraId="144B65F7" w14:textId="5A6AC25C" w:rsidR="005E24F6" w:rsidRDefault="005E24F6" w:rsidP="005E24F6">
      <w:pPr>
        <w:rPr>
          <w:b/>
          <w:sz w:val="28"/>
          <w:u w:val="single"/>
        </w:rPr>
      </w:pPr>
      <w:r w:rsidRPr="005E24F6">
        <w:rPr>
          <w:b/>
          <w:sz w:val="28"/>
          <w:u w:val="single"/>
        </w:rPr>
        <w:t>Complete the form and return it to your Co-P</w:t>
      </w:r>
      <w:r w:rsidR="0038485B">
        <w:rPr>
          <w:b/>
          <w:sz w:val="28"/>
          <w:u w:val="single"/>
        </w:rPr>
        <w:t>resident no later than 9/21/2018</w:t>
      </w:r>
      <w:r w:rsidRPr="005E24F6">
        <w:rPr>
          <w:b/>
          <w:sz w:val="28"/>
          <w:u w:val="single"/>
        </w:rPr>
        <w:t>.</w:t>
      </w:r>
    </w:p>
    <w:p w14:paraId="2B935F37" w14:textId="77777777" w:rsidR="005E24F6" w:rsidRDefault="005E24F6" w:rsidP="005E24F6">
      <w:pPr>
        <w:rPr>
          <w:b/>
          <w:sz w:val="28"/>
          <w:u w:val="single"/>
        </w:rPr>
      </w:pPr>
    </w:p>
    <w:p w14:paraId="4FB89A72" w14:textId="0695FBAF" w:rsidR="005E24F6" w:rsidRDefault="000053E6" w:rsidP="005E24F6">
      <w:pPr>
        <w:rPr>
          <w:sz w:val="24"/>
          <w:szCs w:val="24"/>
        </w:rPr>
      </w:pPr>
      <w:r>
        <w:rPr>
          <w:sz w:val="24"/>
          <w:szCs w:val="24"/>
        </w:rPr>
        <w:t>First</w:t>
      </w:r>
      <w:r w:rsidR="005E24F6">
        <w:rPr>
          <w:sz w:val="24"/>
          <w:szCs w:val="24"/>
        </w:rPr>
        <w:t xml:space="preserve"> Name: _________________________</w:t>
      </w:r>
      <w:r>
        <w:rPr>
          <w:sz w:val="24"/>
          <w:szCs w:val="24"/>
        </w:rPr>
        <w:t xml:space="preserve">    Last Name: </w:t>
      </w:r>
      <w:r w:rsidR="005E24F6">
        <w:rPr>
          <w:sz w:val="24"/>
          <w:szCs w:val="24"/>
        </w:rPr>
        <w:t>____________________________</w:t>
      </w:r>
      <w:bookmarkStart w:id="0" w:name="_GoBack"/>
      <w:bookmarkEnd w:id="0"/>
      <w:r w:rsidR="005E24F6">
        <w:rPr>
          <w:sz w:val="24"/>
          <w:szCs w:val="24"/>
        </w:rPr>
        <w:t>__</w:t>
      </w:r>
    </w:p>
    <w:p w14:paraId="7809DC9B" w14:textId="77777777" w:rsidR="005E24F6" w:rsidRDefault="005E24F6" w:rsidP="005E24F6">
      <w:pPr>
        <w:rPr>
          <w:sz w:val="24"/>
          <w:szCs w:val="24"/>
        </w:rPr>
      </w:pPr>
    </w:p>
    <w:p w14:paraId="0054C0B1" w14:textId="433788BF" w:rsidR="005E24F6" w:rsidRDefault="000053E6" w:rsidP="005E24F6">
      <w:pPr>
        <w:rPr>
          <w:sz w:val="24"/>
          <w:szCs w:val="24"/>
        </w:rPr>
      </w:pPr>
      <w:r>
        <w:rPr>
          <w:sz w:val="24"/>
          <w:szCs w:val="24"/>
        </w:rPr>
        <w:t>I wish to donate</w:t>
      </w:r>
      <w:r w:rsidR="005E24F6">
        <w:rPr>
          <w:sz w:val="24"/>
          <w:szCs w:val="24"/>
        </w:rPr>
        <w:t xml:space="preserve"> to </w:t>
      </w:r>
      <w:r>
        <w:rPr>
          <w:sz w:val="24"/>
          <w:szCs w:val="24"/>
        </w:rPr>
        <w:t xml:space="preserve">the </w:t>
      </w:r>
      <w:r w:rsidR="005E24F6">
        <w:rPr>
          <w:sz w:val="24"/>
          <w:szCs w:val="24"/>
        </w:rPr>
        <w:t>Sick Bank (1 day worth</w:t>
      </w:r>
      <w:r>
        <w:rPr>
          <w:sz w:val="24"/>
          <w:szCs w:val="24"/>
        </w:rPr>
        <w:t>): ___________ hours.</w:t>
      </w:r>
    </w:p>
    <w:p w14:paraId="57A4FCDB" w14:textId="77777777" w:rsidR="000053E6" w:rsidRDefault="000053E6" w:rsidP="005E24F6">
      <w:pPr>
        <w:rPr>
          <w:sz w:val="24"/>
          <w:szCs w:val="24"/>
        </w:rPr>
      </w:pPr>
    </w:p>
    <w:p w14:paraId="4E70FD4C" w14:textId="77777777" w:rsidR="005E24F6" w:rsidRPr="005E24F6" w:rsidRDefault="005E24F6" w:rsidP="005E24F6">
      <w:pPr>
        <w:rPr>
          <w:sz w:val="24"/>
          <w:szCs w:val="24"/>
        </w:rPr>
      </w:pPr>
      <w:r>
        <w:rPr>
          <w:sz w:val="24"/>
          <w:szCs w:val="24"/>
        </w:rPr>
        <w:t>I do not wish to donate (please initial): ____________________</w:t>
      </w:r>
    </w:p>
    <w:sectPr w:rsidR="005E24F6" w:rsidRPr="005E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849"/>
    <w:multiLevelType w:val="multilevel"/>
    <w:tmpl w:val="8BC0D78E"/>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lvlOverride w:ilvl="0">
      <w:lvl w:ilvl="0">
        <w:start w:val="1"/>
        <w:numFmt w:val="upperRoman"/>
        <w:pStyle w:val="Heading1"/>
        <w:lvlText w:val="Article %1."/>
        <w:lvlJc w:val="left"/>
        <w:pPr>
          <w:tabs>
            <w:tab w:val="num" w:pos="1800"/>
          </w:tabs>
          <w:ind w:left="0" w:firstLine="0"/>
        </w:pPr>
      </w:lvl>
    </w:lvlOverride>
    <w:lvlOverride w:ilvl="1">
      <w:lvl w:ilvl="1">
        <w:start w:val="1"/>
        <w:numFmt w:val="decimalZero"/>
        <w:pStyle w:val="Heading2"/>
        <w:isLgl/>
        <w:lvlText w:val="Section %1.%2"/>
        <w:lvlJc w:val="left"/>
        <w:pPr>
          <w:tabs>
            <w:tab w:val="num" w:pos="1440"/>
          </w:tabs>
          <w:ind w:left="0" w:firstLine="0"/>
        </w:pPr>
        <w:rPr>
          <w:b/>
          <w:i w:val="0"/>
        </w:rPr>
      </w:lvl>
    </w:lvlOverride>
    <w:lvlOverride w:ilvl="2">
      <w:lvl w:ilvl="2">
        <w:start w:val="1"/>
        <w:numFmt w:val="lowerLetter"/>
        <w:pStyle w:val="Heading3"/>
        <w:lvlText w:val="(%3)"/>
        <w:lvlJc w:val="left"/>
        <w:pPr>
          <w:tabs>
            <w:tab w:val="num" w:pos="720"/>
          </w:tabs>
          <w:ind w:left="720" w:hanging="432"/>
        </w:pPr>
        <w:rPr>
          <w:b w:val="0"/>
        </w:rPr>
      </w:lvl>
    </w:lvlOverride>
    <w:lvlOverride w:ilvl="3">
      <w:lvl w:ilvl="3">
        <w:start w:val="1"/>
        <w:numFmt w:val="lowerRoman"/>
        <w:pStyle w:val="Heading4"/>
        <w:lvlText w:val="(%4)"/>
        <w:lvlJc w:val="right"/>
        <w:pPr>
          <w:tabs>
            <w:tab w:val="num" w:pos="864"/>
          </w:tabs>
          <w:ind w:left="864" w:hanging="144"/>
        </w:pPr>
      </w:lvl>
    </w:lvlOverride>
    <w:lvlOverride w:ilvl="4">
      <w:lvl w:ilvl="4">
        <w:start w:val="1"/>
        <w:numFmt w:val="decimal"/>
        <w:pStyle w:val="Heading5"/>
        <w:lvlText w:val="%5)"/>
        <w:lvlJc w:val="left"/>
        <w:pPr>
          <w:tabs>
            <w:tab w:val="num" w:pos="1008"/>
          </w:tabs>
          <w:ind w:left="1008" w:hanging="432"/>
        </w:pPr>
      </w:lvl>
    </w:lvlOverride>
    <w:lvlOverride w:ilvl="5">
      <w:lvl w:ilvl="5">
        <w:start w:val="1"/>
        <w:numFmt w:val="lowerLetter"/>
        <w:pStyle w:val="Heading6"/>
        <w:lvlText w:val="%6)"/>
        <w:lvlJc w:val="left"/>
        <w:pPr>
          <w:tabs>
            <w:tab w:val="num" w:pos="1152"/>
          </w:tabs>
          <w:ind w:left="1152" w:hanging="432"/>
        </w:pPr>
      </w:lvl>
    </w:lvlOverride>
    <w:lvlOverride w:ilvl="6">
      <w:lvl w:ilvl="6">
        <w:start w:val="1"/>
        <w:numFmt w:val="lowerRoman"/>
        <w:pStyle w:val="Heading7"/>
        <w:lvlText w:val="%7)"/>
        <w:lvlJc w:val="right"/>
        <w:pPr>
          <w:tabs>
            <w:tab w:val="num" w:pos="1296"/>
          </w:tabs>
          <w:ind w:left="1296" w:hanging="288"/>
        </w:pPr>
      </w:lvl>
    </w:lvlOverride>
    <w:lvlOverride w:ilvl="7">
      <w:lvl w:ilvl="7">
        <w:start w:val="1"/>
        <w:numFmt w:val="lowerLetter"/>
        <w:pStyle w:val="Heading8"/>
        <w:lvlText w:val="%8."/>
        <w:lvlJc w:val="left"/>
        <w:pPr>
          <w:tabs>
            <w:tab w:val="num" w:pos="1440"/>
          </w:tabs>
          <w:ind w:left="1440" w:hanging="432"/>
        </w:pPr>
      </w:lvl>
    </w:lvlOverride>
    <w:lvlOverride w:ilvl="8">
      <w:lvl w:ilvl="8">
        <w:start w:val="1"/>
        <w:numFmt w:val="lowerRoman"/>
        <w:pStyle w:val="Heading9"/>
        <w:lvlText w:val="%9."/>
        <w:lvlJc w:val="right"/>
        <w:pPr>
          <w:tabs>
            <w:tab w:val="num" w:pos="1584"/>
          </w:tabs>
          <w:ind w:left="1584" w:hanging="14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F6"/>
    <w:rsid w:val="000053E6"/>
    <w:rsid w:val="0038485B"/>
    <w:rsid w:val="00516EB4"/>
    <w:rsid w:val="005E24F6"/>
    <w:rsid w:val="00605D76"/>
    <w:rsid w:val="0066342B"/>
    <w:rsid w:val="008410F6"/>
    <w:rsid w:val="00A31B3E"/>
    <w:rsid w:val="00C7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02C4"/>
  <w15:chartTrackingRefBased/>
  <w15:docId w15:val="{90857534-39E3-468A-9976-71A88B28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24F6"/>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E24F6"/>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E24F6"/>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E24F6"/>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E24F6"/>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E24F6"/>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E24F6"/>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E24F6"/>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E24F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4F6"/>
    <w:rPr>
      <w:rFonts w:ascii="Arial" w:eastAsia="Times New Roman" w:hAnsi="Arial" w:cs="Arial"/>
      <w:b/>
      <w:bCs/>
      <w:kern w:val="32"/>
      <w:sz w:val="32"/>
      <w:szCs w:val="32"/>
    </w:rPr>
  </w:style>
  <w:style w:type="character" w:customStyle="1" w:styleId="Heading2Char">
    <w:name w:val="Heading 2 Char"/>
    <w:basedOn w:val="DefaultParagraphFont"/>
    <w:link w:val="Heading2"/>
    <w:rsid w:val="005E24F6"/>
    <w:rPr>
      <w:rFonts w:ascii="Arial" w:eastAsia="Times New Roman" w:hAnsi="Arial" w:cs="Arial"/>
      <w:b/>
      <w:bCs/>
      <w:i/>
      <w:iCs/>
      <w:sz w:val="28"/>
      <w:szCs w:val="28"/>
    </w:rPr>
  </w:style>
  <w:style w:type="character" w:customStyle="1" w:styleId="Heading3Char">
    <w:name w:val="Heading 3 Char"/>
    <w:basedOn w:val="DefaultParagraphFont"/>
    <w:link w:val="Heading3"/>
    <w:rsid w:val="005E24F6"/>
    <w:rPr>
      <w:rFonts w:ascii="Arial" w:eastAsia="Times New Roman" w:hAnsi="Arial" w:cs="Arial"/>
      <w:b/>
      <w:bCs/>
      <w:sz w:val="26"/>
      <w:szCs w:val="26"/>
    </w:rPr>
  </w:style>
  <w:style w:type="character" w:customStyle="1" w:styleId="Heading4Char">
    <w:name w:val="Heading 4 Char"/>
    <w:basedOn w:val="DefaultParagraphFont"/>
    <w:link w:val="Heading4"/>
    <w:rsid w:val="005E24F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E24F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E24F6"/>
    <w:rPr>
      <w:rFonts w:ascii="Times New Roman" w:eastAsia="Times New Roman" w:hAnsi="Times New Roman" w:cs="Times New Roman"/>
      <w:b/>
      <w:bCs/>
    </w:rPr>
  </w:style>
  <w:style w:type="character" w:customStyle="1" w:styleId="Heading7Char">
    <w:name w:val="Heading 7 Char"/>
    <w:basedOn w:val="DefaultParagraphFont"/>
    <w:link w:val="Heading7"/>
    <w:rsid w:val="005E24F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E24F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E24F6"/>
    <w:rPr>
      <w:rFonts w:ascii="Arial" w:eastAsia="Times New Roman" w:hAnsi="Arial" w:cs="Arial"/>
    </w:rPr>
  </w:style>
  <w:style w:type="paragraph" w:styleId="BalloonText">
    <w:name w:val="Balloon Text"/>
    <w:basedOn w:val="Normal"/>
    <w:link w:val="BalloonTextChar"/>
    <w:uiPriority w:val="99"/>
    <w:semiHidden/>
    <w:unhideWhenUsed/>
    <w:rsid w:val="00605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Boyle</dc:creator>
  <cp:keywords/>
  <dc:description/>
  <cp:lastModifiedBy>Cindy Boyle</cp:lastModifiedBy>
  <cp:revision>8</cp:revision>
  <cp:lastPrinted>2015-09-05T15:35:00Z</cp:lastPrinted>
  <dcterms:created xsi:type="dcterms:W3CDTF">2015-09-05T15:08:00Z</dcterms:created>
  <dcterms:modified xsi:type="dcterms:W3CDTF">2018-09-05T14:28:00Z</dcterms:modified>
</cp:coreProperties>
</file>